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406</w:t>
      </w:r>
    </w:p>
    <w:p>
      <w:r>
        <w:t>Bundesgericht (BGE), 1990-02-16, DE</w:t>
      </w:r>
    </w:p>
    <w:p>
      <w:r>
        <w:rPr>
          <w:b/>
        </w:rPr>
        <w:t xml:space="preserve">Quelle: </w:t>
      </w:r>
      <w:r>
        <w:t>https://mcp.opencaselaw.ch/entscheid/bge_116 II 406</w:t>
      </w:r>
    </w:p>
    <w:p>
      <w:r>
        <w:t>FR: ATF 116 II 406</w:t>
      </w:r>
    </w:p>
    <w:p>
      <w:r>
        <w:t>IT: DTF 116 II 406</w:t>
      </w:r>
    </w:p>
    <w:p>
      <w:pPr>
        <w:pStyle w:val="Heading2"/>
      </w:pPr>
      <w:r>
        <w:t>Regeste</w:t>
      </w:r>
    </w:p>
    <w:p>
      <w:r>
        <w:t>Regeste Fürsorgerische Freiheitsentziehung. Erweist sich die gesetzlich vorgeschriebene mündliche Einvernahme bzw. die ärztliche Untersuchung des Betroffenen als unmöglich, so darf der Richter deswegen das Eintreten auf das Gesuch um gerichtliche Beurteilung der Anstaltseinweisung nicht verweigern.</w:t>
      </w:r>
    </w:p>
    <w:p>
      <w:pPr>
        <w:pStyle w:val="Heading2"/>
      </w:pPr>
      <w:r>
        <w:t>Erwägungen</w:t>
      </w:r>
    </w:p>
    <w:p>
      <w:r>
        <w:rPr>
          <w:b/>
        </w:rPr>
        <w:t>E. 2</w:t>
      </w:r>
    </w:p>
    <w:p>
      <w:r>
        <w:t>Soweit auf die Berufung eingetreten werden kann, erweist sie sich als begründet. Die Vorinstanz hat ihren Nichteintretensentscheid damit motiviert, dass wegen der Aussageverweigerung BGE 116 II 406 S. 407 der Berufungsklägerin eine ärztliche Untersuchung nicht habe durchgeführt werden können und es daher nicht möglich sei, derzeit über das Gesuch um gerichtliche Beurteilung der Freiheitsentziehung zu befinden. Diese Begründung ist jedoch mit dem Bundesrecht nicht vereinbar, welches die gerichtliche Beurteilung nur von der rechtzeitigen Anrufung des Richters abhängig macht ( Art. 397d ZGB ). Wohl schreibt Art. 397f Abs. 3 ZGB vor, dass die betroffene Person vom Richter mündlich einzuvernehmen ist. Erweist sich die Einvernahme aber als unmöglich - aus Gründen, die vielleicht gerade in der Krankheit liegen, um derentwegen der Betroffene in die Anstalt eingewiesen worden ist - kann das nicht heissen, dass sich der Richter nicht mit dem Entlassungsgesuch befassen muss. Die Weigerung des Betroffenen, am Verfahren mitzuwirken, kann nur zur Folge haben, dass aufgrund der Akten, d.h. der Angaben der Klinik, namentlich der Krankengeschichte, entschieden werden muss. Das Erfordernis der persönlichen Anhörung darf nicht so verstanden werden, dass bei Unmöglichkeit der Anhörung eine Beurteilung des Entlassungsgesuchs durch den Richter unterbleiben darf. Das gleiche gilt für den in Art. 397e Ziff. 5 ZGB bei psychisch Kranken vorgeschriebenen Beizug von Sachverständigen. Auch dieses Erfordernis darf nicht dazu führen, dass auf das Entlassungsgesuch immer dann nicht eingetreten wird, wenn wegen des renitenten Verhaltens des Betroffenen eine eigene Untersuchung durch den Sachverständigen nicht möglich ist. Wollte man anders entscheiden, so wäre nicht gewährleistet, dass eine Person nur aus den in Art. 397a ZGB genannten Gründen in einer Anstalt zurückbehalten werden darf. Die Berufung ist demzufolge gutzuheissen, der angefochtene Entscheid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